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C5" w:rsidRPr="00972744" w:rsidRDefault="004613C5" w:rsidP="004613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972744">
        <w:rPr>
          <w:rFonts w:ascii="Calibri" w:hAnsi="Calibri" w:cs="Calibri"/>
          <w:b/>
        </w:rPr>
        <w:t>1EC202 – Economia e Finanças Públicas</w:t>
      </w:r>
    </w:p>
    <w:p w:rsidR="004613C5" w:rsidRPr="00972744" w:rsidRDefault="00972744" w:rsidP="009727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972744">
        <w:rPr>
          <w:rFonts w:ascii="Calibri" w:hAnsi="Calibri" w:cs="Calibri"/>
          <w:b/>
        </w:rPr>
        <w:t xml:space="preserve">12/01/2016 </w:t>
      </w:r>
      <w:r w:rsidR="004613C5" w:rsidRPr="00972744">
        <w:rPr>
          <w:rFonts w:ascii="Calibri" w:hAnsi="Calibri" w:cs="Calibri"/>
          <w:b/>
        </w:rPr>
        <w:t>Tópicos de correção</w:t>
      </w:r>
    </w:p>
    <w:p w:rsidR="004613C5" w:rsidRPr="001A5AB5" w:rsidRDefault="004613C5" w:rsidP="004613C5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6"/>
          <w:szCs w:val="28"/>
        </w:rPr>
      </w:pPr>
    </w:p>
    <w:p w:rsidR="004613C5" w:rsidRPr="001A5AB5" w:rsidRDefault="004613C5" w:rsidP="004613C5">
      <w:pPr>
        <w:pBdr>
          <w:bottom w:val="single" w:sz="4" w:space="1" w:color="auto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="Calibri"/>
          <w:sz w:val="20"/>
        </w:rPr>
      </w:pPr>
      <w:r>
        <w:rPr>
          <w:rFonts w:cs="Calibri,Bold"/>
          <w:b/>
          <w:bCs/>
          <w:sz w:val="26"/>
          <w:szCs w:val="28"/>
        </w:rPr>
        <w:t>2º Teste</w:t>
      </w:r>
    </w:p>
    <w:p w:rsidR="00D40D01" w:rsidRDefault="00D40D01" w:rsidP="00D40D01">
      <w:pPr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</w:pPr>
      <w:bookmarkStart w:id="0" w:name="_GoBack"/>
      <w:bookmarkEnd w:id="0"/>
    </w:p>
    <w:p w:rsidR="004613C5" w:rsidRPr="00EA1C75" w:rsidRDefault="004613C5" w:rsidP="004613C5">
      <w:pPr>
        <w:keepNext/>
        <w:rPr>
          <w:rFonts w:ascii="Calibri" w:eastAsia="Times New Roman" w:hAnsi="Calibri" w:cs="Times New Roman"/>
          <w:b/>
          <w:color w:val="000000"/>
          <w:sz w:val="24"/>
          <w:szCs w:val="24"/>
          <w:lang w:eastAsia="pt-PT"/>
        </w:rPr>
      </w:pPr>
      <w:r w:rsidRPr="00EA1C75">
        <w:rPr>
          <w:rFonts w:ascii="Calibri" w:eastAsia="Times New Roman" w:hAnsi="Calibri" w:cs="Times New Roman"/>
          <w:b/>
          <w:color w:val="000000"/>
          <w:sz w:val="24"/>
          <w:szCs w:val="24"/>
          <w:lang w:eastAsia="pt-PT"/>
        </w:rPr>
        <w:t>Grupo 1, Questão 1</w:t>
      </w:r>
    </w:p>
    <w:p w:rsidR="004613C5" w:rsidRPr="00EA1C75" w:rsidRDefault="005C46DF" w:rsidP="004613C5">
      <w:pPr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</w:pPr>
      <w:r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Est</w:t>
      </w:r>
      <w:r w:rsid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á-se</w:t>
      </w:r>
      <w:r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perante </w:t>
      </w:r>
      <w:r w:rsidR="00544328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uma situação de monopólio natural, estando no enunciado expressa a condição suficiente para a existência deste tipo de situação. Deveria ser explicado porque existe falha de mercado neste contexto e serem referidas sumariamente as várias políticas possiveis de intervenção no sentido de evitar o exercício do poder de monopólio. Neste contexto, a adoção de tarifas binomiais deveria ser explicada com mais po</w:t>
      </w:r>
      <w:r w:rsid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r</w:t>
      </w:r>
      <w:r w:rsidR="00544328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menor </w:t>
      </w:r>
      <w:r w:rsidR="0082393E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e ser evidenciado que se trata de uma abordagem Pareto eficiente,</w:t>
      </w:r>
      <w:r w:rsidR="00BB6471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consistindo</w:t>
      </w:r>
      <w:r w:rsidR="0082393E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</w:t>
      </w:r>
      <w:r w:rsidR="00BB6471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num preço com duas componentes. U</w:t>
      </w:r>
      <w:r w:rsidR="0082393E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ma componente (a) fixa, para compensar o prejuízo</w:t>
      </w:r>
      <w:r w:rsidR="00BB6471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inerente a este tipo de indús</w:t>
      </w:r>
      <w:r w:rsidR="0082393E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tria (prejuízo / número de consumidores)</w:t>
      </w:r>
      <w:r w:rsid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,</w:t>
      </w:r>
      <w:r w:rsidR="0082393E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e uma componente (b) variável com o consumo (Q)</w:t>
      </w:r>
      <w:r w:rsid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</w:t>
      </w:r>
      <w:r w:rsidR="0082393E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do bem (que reflete o custo marginal do bem); deste modo, tarifa</w:t>
      </w:r>
      <w:r w:rsid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 </w:t>
      </w:r>
      <w:r w:rsidR="0082393E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=</w:t>
      </w:r>
      <w:r w:rsid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 </w:t>
      </w:r>
      <w:r w:rsidR="0082393E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a+bQ. Deveria ser explicado que pode haver escalonamento quer da parte fixa, quer da parte variável, seja por motivos de equidade, por motivo de uma fixação mais eficiente da capacidade produtiva, </w:t>
      </w:r>
      <w:r w:rsidR="00BB6471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seja ainda </w:t>
      </w:r>
      <w:r w:rsidR="0082393E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por motivo de </w:t>
      </w:r>
      <w:r w:rsidR="00BB6471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racional</w:t>
      </w:r>
      <w:r w:rsidR="00E55738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ização</w:t>
      </w:r>
      <w:r w:rsidR="00BB6471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no consumo do bem. No primeiro caso</w:t>
      </w:r>
      <w:r w:rsid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,</w:t>
      </w:r>
      <w:r w:rsidR="00BB6471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teremos o exemplo de tarifas que têm um escalonamento da parte fixa para minimiz</w:t>
      </w:r>
      <w:r w:rsidR="00E55738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ar o nú</w:t>
      </w:r>
      <w:r w:rsidR="00BB6471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mero de indivíduos excluídos do consumo do bem</w:t>
      </w:r>
      <w:r w:rsidR="00E55738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(parte fixa mais reduzida para p</w:t>
      </w:r>
      <w:r w:rsid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essoas com menores rendimentos);</w:t>
      </w:r>
      <w:r w:rsidR="00E55738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no segundo caso</w:t>
      </w:r>
      <w:r w:rsid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,</w:t>
      </w:r>
      <w:r w:rsidR="00E55738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temos a adoção de tarifas com preços de hora de ponta (</w:t>
      </w:r>
      <w:r w:rsidR="00E55738" w:rsidRPr="00EA1C75">
        <w:rPr>
          <w:rFonts w:ascii="Calibri" w:eastAsia="Times New Roman" w:hAnsi="Calibri" w:cs="Times New Roman"/>
          <w:i/>
          <w:color w:val="000000"/>
          <w:sz w:val="24"/>
          <w:szCs w:val="24"/>
          <w:lang w:eastAsia="pt-PT"/>
        </w:rPr>
        <w:t>peak load pricing</w:t>
      </w:r>
      <w:r w:rsidR="00E55738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) para evitar picos de procura do bem em determinadas horas, nomeadamente na energia elétrica e</w:t>
      </w:r>
      <w:r w:rsid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,</w:t>
      </w:r>
      <w:r w:rsidR="00E55738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no terceiro caso, o exemplo do tarifário da água, em que o preço do m</w:t>
      </w:r>
      <w:r w:rsidR="00E55738" w:rsidRPr="00EA1C75">
        <w:rPr>
          <w:rFonts w:ascii="Calibri" w:eastAsia="Times New Roman" w:hAnsi="Calibri" w:cs="Times New Roman"/>
          <w:color w:val="000000"/>
          <w:sz w:val="24"/>
          <w:szCs w:val="24"/>
          <w:vertAlign w:val="superscript"/>
          <w:lang w:eastAsia="pt-PT"/>
        </w:rPr>
        <w:t>3</w:t>
      </w:r>
      <w:r w:rsidR="00E55738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é fixado por escalões, com maior preço na maior utilização do bem, procurando deste modo racionalizar o consumo.</w:t>
      </w:r>
    </w:p>
    <w:p w:rsidR="00E55738" w:rsidRPr="00EA1C75" w:rsidRDefault="00E55738" w:rsidP="00E55738">
      <w:pPr>
        <w:keepNext/>
        <w:rPr>
          <w:rFonts w:ascii="Calibri" w:eastAsia="Times New Roman" w:hAnsi="Calibri" w:cs="Times New Roman"/>
          <w:b/>
          <w:color w:val="000000"/>
          <w:sz w:val="24"/>
          <w:szCs w:val="24"/>
          <w:lang w:eastAsia="pt-PT"/>
        </w:rPr>
      </w:pPr>
      <w:r w:rsidRPr="00EA1C75">
        <w:rPr>
          <w:rFonts w:ascii="Calibri" w:eastAsia="Times New Roman" w:hAnsi="Calibri" w:cs="Times New Roman"/>
          <w:b/>
          <w:color w:val="000000"/>
          <w:sz w:val="24"/>
          <w:szCs w:val="24"/>
          <w:lang w:eastAsia="pt-PT"/>
        </w:rPr>
        <w:t>Grupo 1, Questão 2</w:t>
      </w:r>
    </w:p>
    <w:p w:rsidR="00E55738" w:rsidRPr="00EA1C75" w:rsidRDefault="00E55738" w:rsidP="004613C5">
      <w:pPr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</w:pPr>
      <w:r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Nesta questão</w:t>
      </w:r>
      <w:r w:rsid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,</w:t>
      </w:r>
      <w:r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deveria</w:t>
      </w:r>
      <w:r w:rsidR="00161173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m</w:t>
      </w:r>
      <w:r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ser </w:t>
      </w:r>
      <w:r w:rsidR="00161173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evidenciados os vários aspetos pelos quais se torna difícil a redistribuição dos rendimentos</w:t>
      </w:r>
      <w:r w:rsid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: (1)</w:t>
      </w:r>
      <w:r w:rsidR="00806AF9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</w:t>
      </w:r>
      <w:r w:rsid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a</w:t>
      </w:r>
      <w:r w:rsidR="00806AF9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spetos de ordem geral, nomeadamente</w:t>
      </w:r>
      <w:r w:rsidR="00161173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dificuldade em elaborar uma função de bem</w:t>
      </w:r>
      <w:r w:rsid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-</w:t>
      </w:r>
      <w:r w:rsidR="00161173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estar social com as caraterísticas desejáveis (conclusão do Teorema da impossibilidade de Arrow), </w:t>
      </w:r>
      <w:r w:rsidR="00A573A1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que permita elucidar sobre as consequências de vias alternativas de resolver o </w:t>
      </w:r>
      <w:r w:rsidR="00A573A1" w:rsidRPr="00EA1C75">
        <w:rPr>
          <w:rFonts w:ascii="Calibri" w:eastAsia="Times New Roman" w:hAnsi="Calibri" w:cs="Times New Roman"/>
          <w:i/>
          <w:color w:val="000000"/>
          <w:sz w:val="24"/>
          <w:szCs w:val="24"/>
          <w:lang w:eastAsia="pt-PT"/>
        </w:rPr>
        <w:t>trade-off</w:t>
      </w:r>
      <w:r w:rsidR="00A573A1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entre eficiência e equidade e </w:t>
      </w:r>
      <w:r w:rsidR="00161173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que ajudasse os decisores a escolher a melhor opção neste contexto; subjetividade do conceito de equidade, ilustrada pelas</w:t>
      </w:r>
      <w:r w:rsidR="00806AF9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diversas abordagens analisadas</w:t>
      </w:r>
      <w:r w:rsidR="00161173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, nomeadamente os utilitaristas, os igualitaristas, as abordagens baseadas nas dotações, abordagens mistas, impossibilidade de incorporar em funções de bem-estar os critérios basados nas dotações, dificuldade em</w:t>
      </w:r>
      <w:r w:rsidR="00806AF9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mensurar a utilidade (sendo irrealista o pressuposto de que estas podem ser medidas cardinalmente)</w:t>
      </w:r>
      <w:r w:rsid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e (2)</w:t>
      </w:r>
      <w:r w:rsidR="00806AF9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dificuldades de ordem prática, como as restrições orçamentais que podem impedir uma desejável redistribuição, dificuldade na definição da unidade básica de análise (agregado familiar ou indivíduo) e na identificação da melhor unidade de medida</w:t>
      </w:r>
      <w:r w:rsid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</w:t>
      </w:r>
      <w:r w:rsidR="00806AF9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(riqueza, consumo, rendimento), para além da dificuldade na concretização e definição dos diferentes nívei</w:t>
      </w:r>
      <w:r w:rsidR="00A573A1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s de equidade (vertical, horizo</w:t>
      </w:r>
      <w:r w:rsidR="00806AF9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ntal, espacial, intergeracional).</w:t>
      </w:r>
      <w:r w:rsid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</w:t>
      </w:r>
      <w:r w:rsidR="00806AF9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Apesar destas </w:t>
      </w:r>
      <w:r w:rsidR="00806AF9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lastRenderedPageBreak/>
        <w:t>dificuldades identificadas, a função redistribuição é concretizada pelo Estado por várias</w:t>
      </w:r>
      <w:r w:rsidR="005A7A85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razões, nomeadamente</w:t>
      </w:r>
      <w:r w:rsidR="003C7FC4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a questão de que o sistema político assente na democracia favorece as pol</w:t>
      </w:r>
      <w:r w:rsid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íticas redistributivas;</w:t>
      </w:r>
      <w:r w:rsidR="005A7A85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o cará</w:t>
      </w:r>
      <w:r w:rsidR="00806AF9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ter de bem público</w:t>
      </w:r>
      <w:r w:rsidR="003C7FC4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</w:t>
      </w:r>
      <w:r w:rsid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d</w:t>
      </w:r>
      <w:r w:rsidR="003C7FC4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a redistribuição </w:t>
      </w:r>
      <w:r w:rsidR="00806AF9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levaria a que</w:t>
      </w:r>
      <w:r w:rsid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,</w:t>
      </w:r>
      <w:r w:rsidR="00806AF9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pela via do mercado, o resultado fosse ineficiente</w:t>
      </w:r>
      <w:r w:rsidR="005A7A85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; a redistr</w:t>
      </w:r>
      <w:r w:rsidR="00A573A1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ibuição</w:t>
      </w:r>
      <w:r w:rsidR="005A7A85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funciona com um seguro</w:t>
      </w:r>
      <w:r w:rsidR="00A573A1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e também corrige</w:t>
      </w:r>
      <w:r w:rsidR="005A7A85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a seleção adversa</w:t>
      </w:r>
      <w:r w:rsidR="00A573A1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na medida em que se inclui a generalidade da população</w:t>
      </w:r>
      <w:r w:rsidR="003C7FC4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no processo redistributivo</w:t>
      </w:r>
      <w:r w:rsidR="005A7A85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; </w:t>
      </w:r>
      <w:r w:rsidR="00A573A1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para além disso, gera</w:t>
      </w:r>
      <w:r w:rsidR="005A7A85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externalidades positivas, promovendo a inclusão social</w:t>
      </w:r>
      <w:r w:rsidR="00A573A1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e</w:t>
      </w:r>
      <w:r w:rsidR="005A7A85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</w:t>
      </w:r>
      <w:r w:rsidR="00A573A1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diminui os custos de transação/decisão em resultado do conhecimento que existe do sistema público. Por último, importa referir que há sempre </w:t>
      </w:r>
      <w:r w:rsidR="006173DC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uma atitude paternalista na atuação do Estado, assente na ideia de que este sabe o que é melhor para os cidadãos.</w:t>
      </w:r>
    </w:p>
    <w:p w:rsidR="004613C5" w:rsidRPr="00EA1C75" w:rsidRDefault="004613C5" w:rsidP="004613C5">
      <w:pPr>
        <w:keepNext/>
        <w:rPr>
          <w:rFonts w:ascii="Calibri" w:eastAsia="Times New Roman" w:hAnsi="Calibri" w:cs="Times New Roman"/>
          <w:b/>
          <w:color w:val="000000"/>
          <w:sz w:val="24"/>
          <w:szCs w:val="24"/>
          <w:lang w:eastAsia="pt-PT"/>
        </w:rPr>
      </w:pPr>
      <w:r w:rsidRPr="00EA1C75">
        <w:rPr>
          <w:rFonts w:ascii="Calibri" w:eastAsia="Times New Roman" w:hAnsi="Calibri" w:cs="Times New Roman"/>
          <w:b/>
          <w:color w:val="000000"/>
          <w:sz w:val="24"/>
          <w:szCs w:val="24"/>
          <w:lang w:eastAsia="pt-PT"/>
        </w:rPr>
        <w:t>Grupo 2, Questão 3</w:t>
      </w:r>
    </w:p>
    <w:p w:rsidR="00FA44A2" w:rsidRPr="00EA1C75" w:rsidRDefault="00FA44A2" w:rsidP="00FA44A2">
      <w:pPr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</w:pPr>
      <w:r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Um subsídio em espécie constitui um subsídio condicional (ao contrário das transferências de rendimento que são incondicionais) à utilização/consumo de um bem: só beneficia do subsídio do Estado quem consumir o bem subsidiado. Segundo a teoria económica, um subsídio em espécie nunca é preferível a uma transferência de rendimento em termos de bem-estar do indivíduo; porém, por uma questão de paternalismo, no caso de bens de mérito (é a situação referida no enunciado), havendo a pressão de grupos de interesse ou no âmbito de políticas microeconómicas setoriais, o Estado pode pretender estimular o consumo de um determinado bem, concedendo um subsídio em espécie. Em particular, um subsídio em espécie em quantidade fixa consiste numa transferência condicional cujo montante é decidido à partida pelo Estado.</w:t>
      </w:r>
    </w:p>
    <w:p w:rsidR="004613C5" w:rsidRPr="00EA1C75" w:rsidRDefault="00FA44A2" w:rsidP="00FA44A2">
      <w:pPr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</w:pPr>
      <w:r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Caso se trate de um bem divisível (o que pressupõe que seja transacionável no mercado), o beneficiário pode vender/comprar as unidades do bem que pretender no mercado. Assim, a solução final é coincidente com a que resultaria da atribuição de uma transferência equivalente em rendimento (TER) em termos da utilidade individual atingida. Porém, tratando-se de um bem indivisível, a atribuição do subsídio pode resultar numa situação de ineficiência (subconsumo ou sobreconsumo, dependendo do mapa de utilidade do beneficiário). Numa situação de sobreconsumo, o beneficiário aceita o subsídio porque essa opção lhe permite aumentar a satisfação (U</w:t>
      </w:r>
      <w:r w:rsidRPr="00EA1C75">
        <w:rPr>
          <w:rFonts w:ascii="Calibri" w:eastAsia="Times New Roman" w:hAnsi="Calibri" w:cs="Times New Roman"/>
          <w:color w:val="000000"/>
          <w:sz w:val="24"/>
          <w:szCs w:val="24"/>
          <w:vertAlign w:val="subscript"/>
          <w:lang w:eastAsia="pt-PT"/>
        </w:rPr>
        <w:t>2</w:t>
      </w:r>
      <w:r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&gt;U</w:t>
      </w:r>
      <w:r w:rsidRPr="00EA1C75">
        <w:rPr>
          <w:rFonts w:ascii="Calibri" w:eastAsia="Times New Roman" w:hAnsi="Calibri" w:cs="Times New Roman"/>
          <w:color w:val="000000"/>
          <w:sz w:val="24"/>
          <w:szCs w:val="24"/>
          <w:vertAlign w:val="subscript"/>
          <w:lang w:eastAsia="pt-PT"/>
        </w:rPr>
        <w:t>1</w:t>
      </w:r>
      <w:r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) mas com uma TER, por exemplo de igual custo para o Estado (à Slutsky), alcançaria um nível de utilidade superior (U</w:t>
      </w:r>
      <w:r w:rsidRPr="00EA1C75">
        <w:rPr>
          <w:rFonts w:ascii="Calibri" w:eastAsia="Times New Roman" w:hAnsi="Calibri" w:cs="Times New Roman"/>
          <w:color w:val="000000"/>
          <w:sz w:val="24"/>
          <w:szCs w:val="24"/>
          <w:vertAlign w:val="subscript"/>
          <w:lang w:eastAsia="pt-PT"/>
        </w:rPr>
        <w:t>3</w:t>
      </w:r>
      <w:r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&gt;U</w:t>
      </w:r>
      <w:r w:rsidRPr="00EA1C75">
        <w:rPr>
          <w:rFonts w:ascii="Calibri" w:eastAsia="Times New Roman" w:hAnsi="Calibri" w:cs="Times New Roman"/>
          <w:color w:val="000000"/>
          <w:sz w:val="24"/>
          <w:szCs w:val="24"/>
          <w:vertAlign w:val="subscript"/>
          <w:lang w:eastAsia="pt-PT"/>
        </w:rPr>
        <w:t>2</w:t>
      </w:r>
      <w:r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) com um consumo menor do bem subsidiado afetando mais rendimento à despesa noutros bens. Porém, se o objetivo do Estado é fomentar o consumo de um bem com externalidades positivas sobre a sociedade, numa situação de sobreconsumo, o subsídio em espécie em quantidade fixa é mais eficaz do que uma TER de igual custo para o Estado.</w:t>
      </w:r>
    </w:p>
    <w:p w:rsidR="004613C5" w:rsidRPr="00EA1C75" w:rsidRDefault="004613C5" w:rsidP="004613C5">
      <w:pPr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</w:pPr>
      <w:r w:rsidRPr="00EA1C75">
        <w:rPr>
          <w:rFonts w:ascii="Calibri" w:hAnsi="Calibri"/>
          <w:noProof/>
          <w:sz w:val="24"/>
          <w:szCs w:val="24"/>
          <w:lang w:eastAsia="pt-PT"/>
        </w:rPr>
        <w:lastRenderedPageBreak/>
        <w:drawing>
          <wp:inline distT="0" distB="0" distL="0" distR="0">
            <wp:extent cx="5049556" cy="31282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556" cy="3128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3C5" w:rsidRPr="00EA1C75" w:rsidRDefault="004613C5" w:rsidP="004613C5">
      <w:pPr>
        <w:keepNext/>
        <w:rPr>
          <w:rFonts w:ascii="Calibri" w:eastAsia="Times New Roman" w:hAnsi="Calibri" w:cs="Times New Roman"/>
          <w:b/>
          <w:color w:val="000000"/>
          <w:sz w:val="24"/>
          <w:szCs w:val="24"/>
          <w:lang w:eastAsia="pt-PT"/>
        </w:rPr>
      </w:pPr>
      <w:r w:rsidRPr="00EA1C75">
        <w:rPr>
          <w:rFonts w:ascii="Calibri" w:eastAsia="Times New Roman" w:hAnsi="Calibri" w:cs="Times New Roman"/>
          <w:b/>
          <w:color w:val="000000"/>
          <w:sz w:val="24"/>
          <w:szCs w:val="24"/>
          <w:lang w:eastAsia="pt-PT"/>
        </w:rPr>
        <w:t>Grupo 2, Questão 4</w:t>
      </w:r>
    </w:p>
    <w:p w:rsidR="004613C5" w:rsidRPr="00EA1C75" w:rsidRDefault="004613C5" w:rsidP="004613C5">
      <w:pPr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</w:pPr>
      <w:r w:rsidRPr="00EA1C75">
        <w:rPr>
          <w:rFonts w:ascii="Calibri" w:eastAsia="Times New Roman" w:hAnsi="Calibri" w:cs="Times New Roman"/>
          <w:b/>
          <w:color w:val="000000"/>
          <w:sz w:val="24"/>
          <w:szCs w:val="24"/>
          <w:lang w:eastAsia="pt-PT"/>
        </w:rPr>
        <w:t>a)</w:t>
      </w:r>
      <w:r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De acordo com a Lei de Enquadramento Orçamental em vigor (Lei n.º 151/2015, de 11 de setembro), a primeira fase do processo orçamental (Artigo 32.º) inicia-se com a apresentação, pelo Governo, na Assembleia da República, da atualização anual do Programa de Estabilidade </w:t>
      </w:r>
      <w:r w:rsidR="00FA44A2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(</w:t>
      </w:r>
      <w:r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para os quatro anos seguintes) e da proposta de lei das Grandes Opções em Matéria de Planeamento e da Programação Orçamental Plurianual até 15 de abril. A atualização do Programa de Estabilidade é depois apreciada pela Assembleia da República e enviada à Comissão Europeia até ao final de abril. A Assembleia da República aprova a Lei das Grandes Opções no prazo de 30 dias a contar da data da sua apresentação.</w:t>
      </w:r>
    </w:p>
    <w:p w:rsidR="004613C5" w:rsidRPr="00EA1C75" w:rsidRDefault="004613C5" w:rsidP="004613C5">
      <w:pPr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</w:pPr>
      <w:r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A segunda fase do processo orçamental inicia-se com a elaboração e apresentação da proposta de lei do Orçamento do Estado (Artigo 36.º) à Assembleia da República. Em situações especiais, como é o caso do termo da legislatura ocorrer entre 1 de outubro e 31 de dezembro, a proposta de lei do Orçamento do Estado é apresentada pelo Governo à Assembleia da República e enviada à Comissão Europeia no prazo de 90 dias a contar da tomada de</w:t>
      </w:r>
      <w:r w:rsidR="00FA44A2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posse do Governo (Artigo 39.º), devendo ser precedida da apresentação da atualização anual do Programa de Estabilidade e da proposta de lei das Grandes Opções. </w:t>
      </w:r>
      <w:r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De </w:t>
      </w:r>
      <w:r w:rsidR="00FA44A2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a</w:t>
      </w:r>
      <w:r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cordo com o Artigo 38.º, a proposta de lei do Orçamento do Estado é discutida e votada (pelo plenário, na generalidade e em alguns pontos na especialidade e, na comissão parlamentar competente, na especialidade), devendo a votação da proposta de lei do Orçamento do Estado realizar -se no prazo de 45 dias após a data da sua admissão pela Assembleia da República. O Tribunal de Contas é ouvido pela Assembleia da República no âmbito da discussão da proposta de lei do Orçamento do Estado</w:t>
      </w:r>
      <w:r w:rsidR="00070F68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.</w:t>
      </w:r>
    </w:p>
    <w:p w:rsidR="004613C5" w:rsidRPr="00EA1C75" w:rsidRDefault="004613C5" w:rsidP="004613C5">
      <w:pPr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</w:pPr>
      <w:r w:rsidRPr="00EA1C75">
        <w:rPr>
          <w:rFonts w:ascii="Calibri" w:eastAsia="Times New Roman" w:hAnsi="Calibri" w:cs="Times New Roman"/>
          <w:b/>
          <w:color w:val="000000"/>
          <w:sz w:val="24"/>
          <w:szCs w:val="24"/>
          <w:lang w:eastAsia="pt-PT"/>
        </w:rPr>
        <w:t>b)</w:t>
      </w:r>
      <w:r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De acordo com a Lei de Enquadramento Orçamental em vigor (Lei n.º 151/2015, de 11 de setembro), em caso de prorrogação da vigência da lei do Orçamento do Estado, durante o período transitório em que se mantiver a prorrogação de vigência da lei do Orçamento do Estado </w:t>
      </w:r>
      <w:r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lastRenderedPageBreak/>
        <w:t>respeitante ao ano anterior, a execução mensal dos programas em curso não pode exceder o duodécimo da despesa total da missão de base orgânica, com exceção das despesas referentes a prestações sociais devidas a beneficiários do sistema de segurança social e das despesas com aplicações financeiras (Artigo 58.º, 4).</w:t>
      </w:r>
    </w:p>
    <w:p w:rsidR="004613C5" w:rsidRPr="00EA1C75" w:rsidRDefault="00070F68" w:rsidP="004613C5">
      <w:pPr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</w:pPr>
      <w:r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Tal significa que, no ano n+1, a despesa mensal não pode ultrapassar 1/12 da despesa total inscrita no Orçamento do Estado do ano n. O objetivo desta regra é o de disciplinar as contas públicas, impedindo possíveis descontrolos da execução orçamental em resultado da concentração despesa nos primeiros meses no ano até que o Orçamento do Estado do ano corrente entre em vigor</w:t>
      </w:r>
      <w:r w:rsidR="004613C5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.</w:t>
      </w:r>
      <w:r w:rsidR="00542E90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O princípio da utilização por duodécimos constitui, assim, uma regra de disciplina e gestão orçamental.</w:t>
      </w:r>
    </w:p>
    <w:p w:rsidR="00D40D01" w:rsidRPr="00EA1C75" w:rsidRDefault="00D40D01" w:rsidP="004613C5">
      <w:pPr>
        <w:keepNext/>
        <w:rPr>
          <w:rFonts w:ascii="Calibri" w:eastAsia="Times New Roman" w:hAnsi="Calibri" w:cs="Times New Roman"/>
          <w:b/>
          <w:color w:val="000000"/>
          <w:sz w:val="24"/>
          <w:szCs w:val="24"/>
          <w:lang w:eastAsia="pt-PT"/>
        </w:rPr>
      </w:pPr>
      <w:r w:rsidRPr="00EA1C75">
        <w:rPr>
          <w:rFonts w:ascii="Calibri" w:eastAsia="Times New Roman" w:hAnsi="Calibri" w:cs="Times New Roman"/>
          <w:b/>
          <w:color w:val="000000"/>
          <w:sz w:val="24"/>
          <w:szCs w:val="24"/>
          <w:lang w:eastAsia="pt-PT"/>
        </w:rPr>
        <w:t>Grupo 3, Questão 5</w:t>
      </w:r>
    </w:p>
    <w:p w:rsidR="00D40D01" w:rsidRPr="00EA1C75" w:rsidRDefault="00D40D01" w:rsidP="00E34C29">
      <w:pPr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</w:pPr>
      <w:r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Nesta questão</w:t>
      </w:r>
      <w:r w:rsidR="004613C5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,</w:t>
      </w:r>
      <w:r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os examinandos deveriam começar por definir imposto direto e imposto indireto. Deveriam depois </w:t>
      </w:r>
      <w:r w:rsidR="00F14684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identificar quais os impostos diretos com natureza progressiva. Centrariam depois a análise na importância dos impostos sobre o rendimento das pessoas singulares. Concluiriam que a primeira parte da afirmação está correta e que seria tanto mais válida quanto maior fosse a proporção da receita de impostos diretos que é gerada com impostos progressivos sobre o rendimento das pessoas singulares.</w:t>
      </w:r>
    </w:p>
    <w:p w:rsidR="00F14684" w:rsidRPr="00EA1C75" w:rsidRDefault="00F14684" w:rsidP="00E34C29">
      <w:pPr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</w:pPr>
      <w:r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No que respeita aos impostos indiretos</w:t>
      </w:r>
      <w:r w:rsidR="004613C5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,</w:t>
      </w:r>
      <w:r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deveriam analisar porque são impostos regressivos. Deveriam avaliar em que medida soluções para mitigar a regressividade dos impostos indiretos</w:t>
      </w:r>
      <w:r w:rsidR="00E34C29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(impostos especiais sobre o consumo e taxas diferenciadas em impostos gerais sobre o valor acrescentado)</w:t>
      </w:r>
      <w:r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são eficazes para</w:t>
      </w:r>
      <w:r w:rsidR="00E34C29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depois concluir que se pode </w:t>
      </w:r>
      <w:r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associar impostos indi</w:t>
      </w:r>
      <w:r w:rsidR="004613C5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retos com impostos regressivos.</w:t>
      </w:r>
    </w:p>
    <w:p w:rsidR="00D40D01" w:rsidRPr="00EA1C75" w:rsidRDefault="00F14684" w:rsidP="00E34C29">
      <w:pPr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</w:pPr>
      <w:r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Co</w:t>
      </w:r>
      <w:r w:rsidR="00E34C29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nsiderando que a maior parcela de receita fiscal é obtida com impostos indiretos então pode-se concluir</w:t>
      </w:r>
      <w:r w:rsidR="004613C5" w:rsidRPr="00EA1C75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que a afirmação está correta.</w:t>
      </w:r>
    </w:p>
    <w:p w:rsidR="004613C5" w:rsidRDefault="004613C5">
      <w:pPr>
        <w:rPr>
          <w:rFonts w:ascii="Calibri" w:eastAsia="Times New Roman" w:hAnsi="Calibri" w:cs="Times New Roman"/>
          <w:b/>
          <w:color w:val="000000"/>
          <w:sz w:val="24"/>
          <w:szCs w:val="24"/>
          <w:lang w:eastAsia="pt-PT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  <w:lang w:eastAsia="pt-PT"/>
        </w:rPr>
        <w:br w:type="page"/>
      </w:r>
    </w:p>
    <w:p w:rsidR="00D40D01" w:rsidRPr="004613C5" w:rsidRDefault="00D40D01" w:rsidP="004613C5">
      <w:pPr>
        <w:keepNext/>
        <w:rPr>
          <w:rFonts w:ascii="Calibri" w:eastAsia="Times New Roman" w:hAnsi="Calibri" w:cs="Times New Roman"/>
          <w:b/>
          <w:color w:val="000000"/>
          <w:sz w:val="24"/>
          <w:szCs w:val="24"/>
          <w:lang w:eastAsia="pt-PT"/>
        </w:rPr>
      </w:pPr>
      <w:r w:rsidRPr="004613C5">
        <w:rPr>
          <w:rFonts w:ascii="Calibri" w:eastAsia="Times New Roman" w:hAnsi="Calibri" w:cs="Times New Roman"/>
          <w:b/>
          <w:color w:val="000000"/>
          <w:sz w:val="24"/>
          <w:szCs w:val="24"/>
          <w:lang w:eastAsia="pt-PT"/>
        </w:rPr>
        <w:lastRenderedPageBreak/>
        <w:t xml:space="preserve">Grupo 3, </w:t>
      </w:r>
      <w:r w:rsidR="004613C5" w:rsidRPr="004613C5">
        <w:rPr>
          <w:rFonts w:ascii="Calibri" w:eastAsia="Times New Roman" w:hAnsi="Calibri" w:cs="Times New Roman"/>
          <w:b/>
          <w:color w:val="000000"/>
          <w:sz w:val="24"/>
          <w:szCs w:val="24"/>
          <w:lang w:eastAsia="pt-PT"/>
        </w:rPr>
        <w:t>Q</w:t>
      </w:r>
      <w:r w:rsidRPr="004613C5">
        <w:rPr>
          <w:rFonts w:ascii="Calibri" w:eastAsia="Times New Roman" w:hAnsi="Calibri" w:cs="Times New Roman"/>
          <w:b/>
          <w:color w:val="000000"/>
          <w:sz w:val="24"/>
          <w:szCs w:val="24"/>
          <w:lang w:eastAsia="pt-PT"/>
        </w:rPr>
        <w:t>uestão 6</w:t>
      </w:r>
    </w:p>
    <w:tbl>
      <w:tblPr>
        <w:tblStyle w:val="TableGrid"/>
        <w:tblpPr w:leftFromText="141" w:rightFromText="141" w:horzAnchor="margin" w:tblpXSpec="center" w:tblpY="585"/>
        <w:tblW w:w="9134" w:type="dxa"/>
        <w:tblLook w:val="04A0" w:firstRow="1" w:lastRow="0" w:firstColumn="1" w:lastColumn="0" w:noHBand="0" w:noVBand="1"/>
      </w:tblPr>
      <w:tblGrid>
        <w:gridCol w:w="2897"/>
        <w:gridCol w:w="1134"/>
        <w:gridCol w:w="1134"/>
        <w:gridCol w:w="1134"/>
        <w:gridCol w:w="2835"/>
      </w:tblGrid>
      <w:tr w:rsidR="00D40D01" w:rsidRPr="00D40D01" w:rsidTr="00EA1C75">
        <w:trPr>
          <w:trHeight w:val="300"/>
        </w:trPr>
        <w:tc>
          <w:tcPr>
            <w:tcW w:w="2897" w:type="dxa"/>
            <w:tcBorders>
              <w:top w:val="nil"/>
              <w:left w:val="nil"/>
            </w:tcBorders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E34C29" w:rsidP="0090040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A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E34C29" w:rsidP="0090040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B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EA1C75" w:rsidP="0090040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C</w:t>
            </w:r>
            <w:r w:rsidR="00E34C29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asal</w:t>
            </w:r>
          </w:p>
        </w:tc>
        <w:tc>
          <w:tcPr>
            <w:tcW w:w="2835" w:type="dxa"/>
            <w:noWrap/>
            <w:vAlign w:val="center"/>
            <w:hideMark/>
          </w:tcPr>
          <w:p w:rsidR="00D40D01" w:rsidRPr="00D40D01" w:rsidRDefault="00E34C29" w:rsidP="0090040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Cálculos auxiliares</w:t>
            </w:r>
          </w:p>
        </w:tc>
      </w:tr>
      <w:tr w:rsidR="00D40D01" w:rsidRPr="00D40D01" w:rsidTr="00EA1C75">
        <w:trPr>
          <w:trHeight w:val="300"/>
        </w:trPr>
        <w:tc>
          <w:tcPr>
            <w:tcW w:w="2897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CATEGORIA A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D40D01" w:rsidRPr="00D40D01" w:rsidTr="00EA1C75">
        <w:trPr>
          <w:trHeight w:val="300"/>
        </w:trPr>
        <w:tc>
          <w:tcPr>
            <w:tcW w:w="2897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lang w:eastAsia="pt-PT"/>
              </w:rPr>
              <w:t>Rendimento ilíquido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50.000,00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20.000,00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D40D01" w:rsidRPr="00D40D01" w:rsidTr="00EA1C75">
        <w:trPr>
          <w:trHeight w:val="300"/>
        </w:trPr>
        <w:tc>
          <w:tcPr>
            <w:tcW w:w="2897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lang w:eastAsia="pt-PT"/>
              </w:rPr>
              <w:t>Dedução específica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5.500,00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4.104,00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Para A desc. seg. social &gt; 4104€</w:t>
            </w:r>
          </w:p>
        </w:tc>
      </w:tr>
      <w:tr w:rsidR="00D40D01" w:rsidRPr="00D40D01" w:rsidTr="00EA1C75">
        <w:trPr>
          <w:trHeight w:val="300"/>
        </w:trPr>
        <w:tc>
          <w:tcPr>
            <w:tcW w:w="2897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lang w:eastAsia="pt-PT"/>
              </w:rPr>
              <w:t>Rendimento líquido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44.500,00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15.896,00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D40D01" w:rsidRPr="00D40D01" w:rsidTr="00EA1C75">
        <w:trPr>
          <w:trHeight w:val="300"/>
        </w:trPr>
        <w:tc>
          <w:tcPr>
            <w:tcW w:w="2897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Rendimento global líquido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  <w:t>44.500,00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  <w:t>15.896,00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  <w:t>60.396,00</w:t>
            </w:r>
          </w:p>
        </w:tc>
        <w:tc>
          <w:tcPr>
            <w:tcW w:w="2835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D40D01" w:rsidRPr="00D40D01" w:rsidTr="00EA1C75">
        <w:trPr>
          <w:trHeight w:val="300"/>
        </w:trPr>
        <w:tc>
          <w:tcPr>
            <w:tcW w:w="2897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i/>
                <w:iCs/>
                <w:color w:val="000000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i/>
                <w:iCs/>
                <w:color w:val="000000"/>
                <w:lang w:eastAsia="pt-PT"/>
              </w:rPr>
              <w:t xml:space="preserve">Quociente familiar: </w:t>
            </w:r>
            <w:r w:rsidRPr="00D40D01">
              <w:rPr>
                <w:rFonts w:ascii="Calibri" w:eastAsia="Times New Roman" w:hAnsi="Calibri" w:cs="Times New Roman"/>
                <w:color w:val="000000"/>
                <w:lang w:eastAsia="pt-PT"/>
              </w:rPr>
              <w:t>(2,3)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26.259,13</w:t>
            </w:r>
          </w:p>
        </w:tc>
        <w:tc>
          <w:tcPr>
            <w:tcW w:w="2835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D40D01" w:rsidRPr="00D40D01" w:rsidTr="00EA1C75">
        <w:trPr>
          <w:trHeight w:val="300"/>
        </w:trPr>
        <w:tc>
          <w:tcPr>
            <w:tcW w:w="2897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lang w:eastAsia="pt-PT"/>
              </w:rPr>
              <w:t>Taxa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37,00%</w:t>
            </w:r>
          </w:p>
        </w:tc>
        <w:tc>
          <w:tcPr>
            <w:tcW w:w="2835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D40D01" w:rsidRPr="00D40D01" w:rsidTr="00EA1C75">
        <w:trPr>
          <w:trHeight w:val="300"/>
        </w:trPr>
        <w:tc>
          <w:tcPr>
            <w:tcW w:w="2897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lang w:eastAsia="pt-PT"/>
              </w:rPr>
              <w:t>Parcela a abater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2.680,00</w:t>
            </w:r>
          </w:p>
        </w:tc>
        <w:tc>
          <w:tcPr>
            <w:tcW w:w="2835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D40D01" w:rsidRPr="00D40D01" w:rsidTr="00EA1C75">
        <w:trPr>
          <w:trHeight w:val="300"/>
        </w:trPr>
        <w:tc>
          <w:tcPr>
            <w:tcW w:w="2897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IRS regra quociente familiar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16.182,52</w:t>
            </w:r>
          </w:p>
        </w:tc>
        <w:tc>
          <w:tcPr>
            <w:tcW w:w="2835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D40D01" w:rsidRPr="00D40D01" w:rsidTr="00EA1C75">
        <w:trPr>
          <w:trHeight w:val="300"/>
        </w:trPr>
        <w:tc>
          <w:tcPr>
            <w:tcW w:w="2897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IRS regra quociente conjugal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16.986,52</w:t>
            </w:r>
          </w:p>
        </w:tc>
        <w:tc>
          <w:tcPr>
            <w:tcW w:w="2835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D40D01" w:rsidRPr="00D40D01" w:rsidTr="00EA1C75">
        <w:trPr>
          <w:trHeight w:val="300"/>
        </w:trPr>
        <w:tc>
          <w:tcPr>
            <w:tcW w:w="2897" w:type="dxa"/>
            <w:noWrap/>
            <w:vAlign w:val="center"/>
            <w:hideMark/>
          </w:tcPr>
          <w:p w:rsidR="00D40D01" w:rsidRPr="00D40D01" w:rsidRDefault="00056EDF" w:rsidP="0090040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IRS – 60</w:t>
            </w:r>
            <w:r w:rsidR="00D40D01" w:rsidRPr="00D40D01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0 euros (limite)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  <w:t>16.386,52</w:t>
            </w:r>
          </w:p>
        </w:tc>
        <w:tc>
          <w:tcPr>
            <w:tcW w:w="2835" w:type="dxa"/>
            <w:noWrap/>
            <w:vAlign w:val="center"/>
            <w:hideMark/>
          </w:tcPr>
          <w:p w:rsidR="00D40D01" w:rsidRPr="00056EDF" w:rsidRDefault="00056EDF" w:rsidP="00056ED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56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Limite definido</w:t>
            </w:r>
          </w:p>
        </w:tc>
      </w:tr>
      <w:tr w:rsidR="00D40D01" w:rsidRPr="00D40D01" w:rsidTr="00EA1C75">
        <w:trPr>
          <w:trHeight w:val="300"/>
        </w:trPr>
        <w:tc>
          <w:tcPr>
            <w:tcW w:w="2897" w:type="dxa"/>
            <w:noWrap/>
            <w:vAlign w:val="center"/>
            <w:hideMark/>
          </w:tcPr>
          <w:p w:rsidR="00D40D01" w:rsidRPr="00D40D01" w:rsidRDefault="00D40D01" w:rsidP="00900408">
            <w:pPr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i/>
                <w:iCs/>
                <w:color w:val="000000"/>
                <w:lang w:eastAsia="pt-PT"/>
              </w:rPr>
              <w:t>Retribuição mínima anual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7.070,00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7.070,00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</w:t>
            </w:r>
          </w:p>
        </w:tc>
        <w:tc>
          <w:tcPr>
            <w:tcW w:w="2835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D40D01" w:rsidRPr="00D40D01" w:rsidTr="00EA1C75">
        <w:trPr>
          <w:trHeight w:val="300"/>
        </w:trPr>
        <w:tc>
          <w:tcPr>
            <w:tcW w:w="2897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t-PT"/>
              </w:rPr>
              <w:t>Rendimento global líquido acima da retribuição mínima anual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37.430,00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8.826,00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D40D01" w:rsidRPr="00D40D01" w:rsidTr="00EA1C75">
        <w:trPr>
          <w:trHeight w:val="300"/>
        </w:trPr>
        <w:tc>
          <w:tcPr>
            <w:tcW w:w="2897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t-PT"/>
              </w:rPr>
              <w:t>Sobretaxa em sede de IRS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  <w:t>1.310,05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  <w:t>308,91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  <w:t>1.618,96</w:t>
            </w:r>
          </w:p>
        </w:tc>
        <w:tc>
          <w:tcPr>
            <w:tcW w:w="2835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D40D01" w:rsidRPr="00D40D01" w:rsidTr="00EA1C75">
        <w:trPr>
          <w:trHeight w:val="300"/>
        </w:trPr>
        <w:tc>
          <w:tcPr>
            <w:tcW w:w="2897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TOTAL IRS LIQUIDADO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  <w:t>18.005,48</w:t>
            </w:r>
          </w:p>
        </w:tc>
        <w:tc>
          <w:tcPr>
            <w:tcW w:w="2835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D40D01" w:rsidRPr="00D40D01" w:rsidTr="00EA1C75">
        <w:trPr>
          <w:trHeight w:val="300"/>
        </w:trPr>
        <w:tc>
          <w:tcPr>
            <w:tcW w:w="2897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lang w:eastAsia="pt-PT"/>
              </w:rPr>
              <w:t>DEDUÇÕES À COLETA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D40D01" w:rsidRPr="00D40D01" w:rsidTr="00EA1C75">
        <w:trPr>
          <w:trHeight w:val="300"/>
        </w:trPr>
        <w:tc>
          <w:tcPr>
            <w:tcW w:w="2897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lang w:eastAsia="pt-PT"/>
              </w:rPr>
              <w:t>Despesas de saúde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75</w:t>
            </w:r>
          </w:p>
        </w:tc>
        <w:tc>
          <w:tcPr>
            <w:tcW w:w="2835" w:type="dxa"/>
            <w:noWrap/>
            <w:vAlign w:val="center"/>
            <w:hideMark/>
          </w:tcPr>
          <w:p w:rsidR="00D40D01" w:rsidRPr="00D40D01" w:rsidRDefault="00D40D01" w:rsidP="0090040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0,15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x </w:t>
            </w: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500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</w:t>
            </w: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=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</w:t>
            </w: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75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</w:t>
            </w: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&lt;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</w:t>
            </w: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limite de 1000 € (*)</w:t>
            </w:r>
          </w:p>
        </w:tc>
      </w:tr>
      <w:tr w:rsidR="00D40D01" w:rsidRPr="00D40D01" w:rsidTr="00EA1C75">
        <w:trPr>
          <w:trHeight w:val="300"/>
        </w:trPr>
        <w:tc>
          <w:tcPr>
            <w:tcW w:w="2897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lang w:eastAsia="pt-PT"/>
              </w:rPr>
              <w:t>Despesas de educação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300</w:t>
            </w:r>
          </w:p>
        </w:tc>
        <w:tc>
          <w:tcPr>
            <w:tcW w:w="2835" w:type="dxa"/>
            <w:noWrap/>
            <w:vAlign w:val="center"/>
            <w:hideMark/>
          </w:tcPr>
          <w:p w:rsidR="00D40D01" w:rsidRPr="00D40D01" w:rsidRDefault="00D40D01" w:rsidP="0090040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0,3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</w:t>
            </w: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</w:t>
            </w: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1000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</w:t>
            </w: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=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</w:t>
            </w: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300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</w:t>
            </w: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&lt; limite de 800 € (*)</w:t>
            </w:r>
          </w:p>
        </w:tc>
      </w:tr>
      <w:tr w:rsidR="00D40D01" w:rsidRPr="00D40D01" w:rsidTr="00EA1C75">
        <w:trPr>
          <w:trHeight w:val="300"/>
        </w:trPr>
        <w:tc>
          <w:tcPr>
            <w:tcW w:w="2897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lang w:eastAsia="pt-PT"/>
              </w:rPr>
              <w:t>Recuperação de IVA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34,5</w:t>
            </w:r>
          </w:p>
        </w:tc>
        <w:tc>
          <w:tcPr>
            <w:tcW w:w="2835" w:type="dxa"/>
            <w:noWrap/>
            <w:vAlign w:val="center"/>
            <w:hideMark/>
          </w:tcPr>
          <w:p w:rsidR="00D40D01" w:rsidRPr="00D40D01" w:rsidRDefault="00D40D01" w:rsidP="0090040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0,15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</w:t>
            </w: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</w:t>
            </w: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230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</w:t>
            </w: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=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</w:t>
            </w: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34,5 &lt; limite de 250 €</w:t>
            </w:r>
          </w:p>
        </w:tc>
      </w:tr>
      <w:tr w:rsidR="00D40D01" w:rsidRPr="00D40D01" w:rsidTr="00EA1C75">
        <w:trPr>
          <w:trHeight w:val="300"/>
        </w:trPr>
        <w:tc>
          <w:tcPr>
            <w:tcW w:w="2897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u w:val="single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u w:val="single"/>
                <w:lang w:eastAsia="pt-PT"/>
              </w:rPr>
              <w:t>Dedução titular/filhos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</w:tr>
      <w:tr w:rsidR="00D40D01" w:rsidRPr="00D40D01" w:rsidTr="00EA1C75">
        <w:trPr>
          <w:trHeight w:val="300"/>
        </w:trPr>
        <w:tc>
          <w:tcPr>
            <w:tcW w:w="2897" w:type="dxa"/>
            <w:noWrap/>
            <w:vAlign w:val="center"/>
            <w:hideMark/>
          </w:tcPr>
          <w:p w:rsidR="00D40D01" w:rsidRPr="00D40D01" w:rsidRDefault="00352F8B" w:rsidP="00900408">
            <w:pPr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Sr. A</w:t>
            </w:r>
            <w:r w:rsidR="00D40D01" w:rsidRPr="00D40D01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 (desp. gerais)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250</w:t>
            </w:r>
          </w:p>
        </w:tc>
        <w:tc>
          <w:tcPr>
            <w:tcW w:w="2835" w:type="dxa"/>
            <w:noWrap/>
            <w:vAlign w:val="center"/>
            <w:hideMark/>
          </w:tcPr>
          <w:p w:rsidR="00D40D01" w:rsidRPr="00D40D01" w:rsidRDefault="00D40D01" w:rsidP="0090040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0,35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</w:t>
            </w: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</w:t>
            </w: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</w:t>
            </w: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000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</w:t>
            </w: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&gt;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</w:t>
            </w: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limite 250 €</w:t>
            </w:r>
          </w:p>
        </w:tc>
      </w:tr>
      <w:tr w:rsidR="00D40D01" w:rsidRPr="00D40D01" w:rsidTr="00EA1C75">
        <w:trPr>
          <w:trHeight w:val="300"/>
        </w:trPr>
        <w:tc>
          <w:tcPr>
            <w:tcW w:w="2897" w:type="dxa"/>
            <w:noWrap/>
            <w:vAlign w:val="center"/>
            <w:hideMark/>
          </w:tcPr>
          <w:p w:rsidR="00D40D01" w:rsidRPr="00D40D01" w:rsidRDefault="00352F8B" w:rsidP="00900408">
            <w:pPr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Sr.ª  B </w:t>
            </w:r>
            <w:r w:rsidR="00D40D01" w:rsidRPr="00D40D01">
              <w:rPr>
                <w:rFonts w:ascii="Calibri" w:eastAsia="Times New Roman" w:hAnsi="Calibri" w:cs="Times New Roman"/>
                <w:color w:val="000000"/>
                <w:lang w:eastAsia="pt-PT"/>
              </w:rPr>
              <w:t>(desp. gerais)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250</w:t>
            </w:r>
          </w:p>
        </w:tc>
        <w:tc>
          <w:tcPr>
            <w:tcW w:w="2835" w:type="dxa"/>
            <w:noWrap/>
            <w:vAlign w:val="center"/>
            <w:hideMark/>
          </w:tcPr>
          <w:p w:rsidR="00D40D01" w:rsidRPr="00D40D01" w:rsidRDefault="00D40D01" w:rsidP="0090040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0,35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</w:t>
            </w: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15 </w:t>
            </w: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000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</w:t>
            </w: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&gt;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</w:t>
            </w: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limite 250 €</w:t>
            </w:r>
          </w:p>
        </w:tc>
      </w:tr>
      <w:tr w:rsidR="00D40D01" w:rsidRPr="00D40D01" w:rsidTr="00EA1C75">
        <w:trPr>
          <w:trHeight w:val="300"/>
        </w:trPr>
        <w:tc>
          <w:tcPr>
            <w:tcW w:w="2897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lang w:eastAsia="pt-PT"/>
              </w:rPr>
              <w:t>Filho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325</w:t>
            </w:r>
          </w:p>
        </w:tc>
        <w:tc>
          <w:tcPr>
            <w:tcW w:w="2835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D40D01" w:rsidRPr="00D40D01" w:rsidTr="00EA1C75">
        <w:trPr>
          <w:trHeight w:val="300"/>
        </w:trPr>
        <w:tc>
          <w:tcPr>
            <w:tcW w:w="2897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 Filho</w:t>
            </w:r>
            <w:r w:rsidRPr="00D40D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r w:rsidRPr="00D40D0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pt-PT"/>
              </w:rPr>
              <w:t>(dedução à coleta da sobretaxa)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12,63</w:t>
            </w:r>
          </w:p>
        </w:tc>
        <w:tc>
          <w:tcPr>
            <w:tcW w:w="2835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D40D01" w:rsidRPr="00D40D01" w:rsidTr="00EA1C75">
        <w:trPr>
          <w:trHeight w:val="300"/>
        </w:trPr>
        <w:tc>
          <w:tcPr>
            <w:tcW w:w="2897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Deduções à coleta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  <w:t>1.247,13</w:t>
            </w:r>
          </w:p>
        </w:tc>
        <w:tc>
          <w:tcPr>
            <w:tcW w:w="2835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D40D01" w:rsidRPr="00D40D01" w:rsidTr="00EA1C75">
        <w:trPr>
          <w:trHeight w:val="300"/>
        </w:trPr>
        <w:tc>
          <w:tcPr>
            <w:tcW w:w="2897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IMPOSTO DEVIDO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  <w:t>16.758,35</w:t>
            </w:r>
          </w:p>
        </w:tc>
        <w:tc>
          <w:tcPr>
            <w:tcW w:w="2835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D40D01" w:rsidRPr="00D40D01" w:rsidTr="00EA1C75">
        <w:trPr>
          <w:trHeight w:val="300"/>
        </w:trPr>
        <w:tc>
          <w:tcPr>
            <w:tcW w:w="2897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RETENÇÕES NA FONTE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  <w:t>16.250,00</w:t>
            </w:r>
          </w:p>
        </w:tc>
        <w:tc>
          <w:tcPr>
            <w:tcW w:w="2835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D40D01" w:rsidRPr="00D40D01" w:rsidTr="00EA1C75">
        <w:trPr>
          <w:trHeight w:val="300"/>
        </w:trPr>
        <w:tc>
          <w:tcPr>
            <w:tcW w:w="2897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IMPOSTO A PAGAR</w:t>
            </w: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0D01" w:rsidRPr="00D40D01" w:rsidRDefault="00D40D01" w:rsidP="0090040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D40D0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  <w:t>508,35</w:t>
            </w:r>
          </w:p>
        </w:tc>
        <w:tc>
          <w:tcPr>
            <w:tcW w:w="2835" w:type="dxa"/>
            <w:noWrap/>
            <w:vAlign w:val="center"/>
            <w:hideMark/>
          </w:tcPr>
          <w:p w:rsidR="00D40D01" w:rsidRPr="00D40D01" w:rsidRDefault="00D40D01" w:rsidP="00900408">
            <w:pPr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</w:tbl>
    <w:p w:rsidR="00D40D01" w:rsidRPr="00D40D01" w:rsidRDefault="00D40D01" w:rsidP="00D40D01">
      <w:pPr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</w:pPr>
    </w:p>
    <w:p w:rsidR="000E1F7E" w:rsidRPr="00D40D01" w:rsidRDefault="00D40D01" w:rsidP="00D40D01">
      <w:pPr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  <w:r w:rsidRPr="00D40D01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*limite cumulativo: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(</w:t>
      </w:r>
      <w:r w:rsidRPr="00D40D01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75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 </w:t>
      </w:r>
      <w:r w:rsidRPr="00D40D01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+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 </w:t>
      </w:r>
      <w:r w:rsidRPr="00D40D01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300) </w:t>
      </w:r>
      <w:r w:rsidR="00E34C29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 </w:t>
      </w:r>
      <w:r w:rsidRPr="00D40D01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&lt;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  (</w:t>
      </w:r>
      <w:r w:rsidRPr="00D40D01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1000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 </w:t>
      </w:r>
      <w:r w:rsidRPr="00D40D01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+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 </w:t>
      </w:r>
      <w:r w:rsidRPr="00D40D01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( (2500-1000)x (80000-26259,13)/(80000-7000))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)</w:t>
      </w:r>
    </w:p>
    <w:sectPr w:rsidR="000E1F7E" w:rsidRPr="00D40D01" w:rsidSect="00C631DF">
      <w:pgSz w:w="11906" w:h="16838"/>
      <w:pgMar w:top="1560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4B3F"/>
    <w:rsid w:val="00056EDF"/>
    <w:rsid w:val="00070F68"/>
    <w:rsid w:val="000E1F7E"/>
    <w:rsid w:val="0013479A"/>
    <w:rsid w:val="00161173"/>
    <w:rsid w:val="001E7A58"/>
    <w:rsid w:val="00352F8B"/>
    <w:rsid w:val="003C0A55"/>
    <w:rsid w:val="003C7FC4"/>
    <w:rsid w:val="004613C5"/>
    <w:rsid w:val="00542E90"/>
    <w:rsid w:val="00544328"/>
    <w:rsid w:val="005A7A85"/>
    <w:rsid w:val="005C46DF"/>
    <w:rsid w:val="005E76B0"/>
    <w:rsid w:val="006173DC"/>
    <w:rsid w:val="006A63C5"/>
    <w:rsid w:val="00751A7A"/>
    <w:rsid w:val="00806AF9"/>
    <w:rsid w:val="0082393E"/>
    <w:rsid w:val="00972744"/>
    <w:rsid w:val="00A261C4"/>
    <w:rsid w:val="00A573A1"/>
    <w:rsid w:val="00AB3D74"/>
    <w:rsid w:val="00BB4B3F"/>
    <w:rsid w:val="00BB6471"/>
    <w:rsid w:val="00C631DF"/>
    <w:rsid w:val="00D40D01"/>
    <w:rsid w:val="00E34C29"/>
    <w:rsid w:val="00E55738"/>
    <w:rsid w:val="00EA1C75"/>
    <w:rsid w:val="00EB2F89"/>
    <w:rsid w:val="00F14684"/>
    <w:rsid w:val="00F76607"/>
    <w:rsid w:val="00FA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7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4B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3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1730</Words>
  <Characters>9347</Characters>
  <Application>Microsoft Office Word</Application>
  <DocSecurity>0</DocSecurity>
  <Lines>77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FEP</Company>
  <LinksUpToDate>false</LinksUpToDate>
  <CharactersWithSpaces>11055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mcsilva</cp:lastModifiedBy>
  <cp:revision>14</cp:revision>
  <dcterms:created xsi:type="dcterms:W3CDTF">2016-01-14T11:10:00Z</dcterms:created>
  <dcterms:modified xsi:type="dcterms:W3CDTF">2016-01-26T15:12:00Z</dcterms:modified>
</cp:coreProperties>
</file>